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Arial" w:ascii="Arial" w:hAnsi="Arial"/>
          <w:b/>
          <w:bCs/>
          <w:color w:val="000000"/>
          <w:sz w:val="36"/>
          <w:szCs w:val="36"/>
        </w:rPr>
      </w:pPr>
      <w:r>
        <w:rPr>
          <w:rFonts w:cs="Arial" w:ascii="Arial" w:hAnsi="Arial"/>
          <w:b/>
          <w:bCs/>
          <w:color w:val="000000"/>
          <w:sz w:val="48"/>
          <w:szCs w:val="48"/>
        </w:rPr>
        <w:t>2015  EC Annual Report</w:t>
      </w:r>
      <w:r>
        <w:rPr>
          <w:rFonts w:cs="Arial" w:ascii="Arial" w:hAnsi="Arial"/>
          <w:b/>
          <w:bCs/>
          <w:color w:val="000000"/>
          <w:sz w:val="36"/>
          <w:szCs w:val="36"/>
        </w:rPr>
        <w:t xml:space="preserve">  (Form C)</w:t>
      </w:r>
    </w:p>
    <w:p>
      <w:pPr>
        <w:pStyle w:val="Normal"/>
        <w:rPr>
          <w:rFonts w:cs="Arial" w:ascii="Arial" w:hAnsi="Arial"/>
          <w:color w:val="000000"/>
          <w:sz w:val="18"/>
          <w:szCs w:val="18"/>
        </w:rPr>
      </w:pPr>
      <w:r>
        <w:rPr>
          <w:rFonts w:cs="Arial" w:ascii="Arial" w:hAnsi="Arial"/>
          <w:color w:val="000000"/>
          <w:sz w:val="18"/>
          <w:szCs w:val="18"/>
        </w:rPr>
      </w:r>
    </w:p>
    <w:p>
      <w:pPr>
        <w:pStyle w:val="Normal"/>
        <w:rPr>
          <w:rFonts w:cs="Arial" w:ascii="Arial" w:hAnsi="Arial"/>
          <w:b/>
          <w:bCs/>
          <w:color w:val="000000"/>
          <w:sz w:val="18"/>
          <w:szCs w:val="18"/>
        </w:rPr>
      </w:pPr>
      <w:r>
        <w:rPr>
          <w:rFonts w:cs="Arial" w:ascii="Arial" w:hAnsi="Arial"/>
          <w:b/>
          <w:bCs/>
          <w:color w:val="000000"/>
          <w:sz w:val="18"/>
          <w:szCs w:val="18"/>
        </w:rPr>
        <w:t>*PLEASE PRINT*</w:t>
      </w:r>
    </w:p>
    <w:p>
      <w:pPr>
        <w:pStyle w:val="Normal"/>
        <w:rPr>
          <w:rFonts w:cs="Arial" w:ascii="Arial" w:hAnsi="Arial"/>
          <w:color w:val="000000"/>
          <w:sz w:val="18"/>
          <w:szCs w:val="18"/>
        </w:rPr>
      </w:pPr>
      <w:r>
        <w:rPr>
          <w:rFonts w:cs="Arial" w:ascii="Arial" w:hAnsi="Arial"/>
          <w:color w:val="000000"/>
          <w:sz w:val="18"/>
          <w:szCs w:val="18"/>
        </w:rPr>
        <w:t>Based upon your current file of registration cards (FSD-98) for present Amateur Radio Emergency Service members within your jurisdiction, please compile the following information. Information from this form is used to indicate general trends in ARES activity. The more reports returned, the more accurate our analysis will be. Please take a few minutes to complete this report. Mail one copy to ARRL Headquarters, one copy to your SEC/DEC and retain one copy for your own files.</w:t>
      </w:r>
    </w:p>
    <w:p>
      <w:pPr>
        <w:pStyle w:val="Normal"/>
        <w:jc w:val="right"/>
        <w:rPr/>
      </w:pPr>
      <w:r>
        <w:rPr/>
      </w:r>
    </w:p>
    <w:p>
      <w:pPr>
        <w:sectPr>
          <w:type w:val="nextPage"/>
          <w:pgSz w:w="12240" w:h="15840"/>
          <w:pgMar w:left="1440" w:right="1440" w:header="0" w:top="1440" w:footer="0" w:bottom="1440" w:gutter="0"/>
          <w:pgNumType w:fmt="decimal"/>
          <w:cols w:num="2" w:equalWidth="false" w:sep="false">
            <w:col w:w="7200" w:space="0"/>
            <w:col w:w="2159"/>
          </w:cols>
          <w:formProt w:val="false"/>
          <w:textDirection w:val="lrTb"/>
          <w:docGrid w:type="default" w:linePitch="600" w:charSpace="32768"/>
        </w:sectPr>
      </w:pPr>
    </w:p>
    <w:p>
      <w:pPr>
        <w:pStyle w:val="Normal"/>
        <w:rPr/>
      </w:pPr>
      <w:r>
        <w:rPr/>
        <w:drawing>
          <wp:inline distT="0" distB="0" distL="0" distR="0">
            <wp:extent cx="495300" cy="1019175"/>
            <wp:effectExtent l="0" t="0" r="0" b="0"/>
            <wp:docPr id="0" name="Picture" descr="a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rrl"/>
                    <pic:cNvPicPr>
                      <a:picLocks noChangeAspect="1" noChangeArrowheads="1"/>
                    </pic:cNvPicPr>
                  </pic:nvPicPr>
                  <pic:blipFill>
                    <a:blip r:embed="rId2"/>
                    <a:stretch>
                      <a:fillRect/>
                    </a:stretch>
                  </pic:blipFill>
                  <pic:spPr bwMode="auto">
                    <a:xfrm>
                      <a:off x="0" y="0"/>
                      <a:ext cx="495300" cy="1019175"/>
                    </a:xfrm>
                    <a:prstGeom prst="rect">
                      <a:avLst/>
                    </a:prstGeom>
                    <a:noFill/>
                    <a:ln w="9525">
                      <a:noFill/>
                      <a:miter lim="800000"/>
                      <a:headEnd/>
                      <a:tailEnd/>
                    </a:ln>
                  </pic:spPr>
                </pic:pic>
              </a:graphicData>
            </a:graphic>
          </wp:inline>
        </w:drawing>
      </w:r>
    </w:p>
    <w:p>
      <w:pPr>
        <w:pStyle w:val="Normal"/>
        <w:rPr>
          <w:rFonts w:cs="Arial" w:ascii="Arial" w:hAnsi="Arial"/>
          <w:b/>
          <w:bCs/>
          <w:color w:val="000000"/>
          <w:sz w:val="20"/>
          <w:szCs w:val="20"/>
        </w:rPr>
      </w:pPr>
      <w:r>
        <w:rPr>
          <w:rFonts w:cs="Arial" w:ascii="Arial" w:hAnsi="Arial"/>
          <w:b/>
          <w:bCs/>
          <w:color w:val="000000"/>
          <w:sz w:val="20"/>
          <w:szCs w:val="20"/>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340"/>
        <w:gridCol w:w="7199"/>
      </w:tblGrid>
      <w:tr>
        <w:trPr>
          <w:cantSplit w:val="false"/>
        </w:trPr>
        <w:tc>
          <w:tcPr>
            <w:tcW w:w="2340" w:type="dxa"/>
            <w:tcBorders>
              <w:top w:val="nil"/>
              <w:left w:val="nil"/>
              <w:bottom w:val="nil"/>
              <w:insideH w:val="nil"/>
              <w:right w:val="nil"/>
              <w:insideV w:val="nil"/>
            </w:tcBorders>
            <w:shd w:fill="auto" w:val="clear"/>
          </w:tcPr>
          <w:p>
            <w:pPr>
              <w:pStyle w:val="Normal"/>
              <w:rPr>
                <w:rFonts w:cs="Arial" w:ascii="Arial" w:hAnsi="Arial"/>
                <w:b/>
                <w:bCs/>
                <w:color w:val="000000"/>
                <w:sz w:val="20"/>
                <w:szCs w:val="20"/>
              </w:rPr>
            </w:pPr>
            <w:r>
              <w:rPr>
                <w:rFonts w:cs="Arial" w:ascii="Arial" w:hAnsi="Arial"/>
                <w:b/>
                <w:bCs/>
                <w:color w:val="000000"/>
                <w:sz w:val="20"/>
                <w:szCs w:val="20"/>
              </w:rPr>
              <w:t>ARRL Section:</w:t>
            </w:r>
          </w:p>
        </w:tc>
        <w:tc>
          <w:tcPr>
            <w:tcW w:w="7199" w:type="dxa"/>
            <w:tcBorders>
              <w:top w:val="nil"/>
              <w:left w:val="nil"/>
              <w:bottom w:val="nil"/>
              <w:insideH w:val="nil"/>
              <w:right w:val="nil"/>
              <w:insideV w:val="nil"/>
            </w:tcBorders>
            <w:shd w:fill="auto" w:val="cle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2340" w:type="dxa"/>
            <w:tcBorders>
              <w:top w:val="nil"/>
              <w:left w:val="nil"/>
              <w:bottom w:val="nil"/>
              <w:insideH w:val="nil"/>
              <w:right w:val="nil"/>
              <w:insideV w:val="nil"/>
            </w:tcBorders>
            <w:shd w:fill="auto" w:val="clear"/>
          </w:tcPr>
          <w:p>
            <w:pPr>
              <w:pStyle w:val="Normal"/>
              <w:rPr>
                <w:rFonts w:cs="Arial" w:ascii="Arial" w:hAnsi="Arial"/>
                <w:b/>
                <w:bCs/>
                <w:color w:val="000000"/>
                <w:sz w:val="20"/>
                <w:szCs w:val="20"/>
              </w:rPr>
            </w:pPr>
            <w:r>
              <w:rPr>
                <w:rFonts w:cs="Arial" w:ascii="Arial" w:hAnsi="Arial"/>
                <w:b/>
                <w:bCs/>
                <w:color w:val="000000"/>
                <w:sz w:val="20"/>
                <w:szCs w:val="20"/>
              </w:rPr>
              <w:t>Area of Jurisdiction:</w:t>
            </w:r>
          </w:p>
        </w:tc>
        <w:tc>
          <w:tcPr>
            <w:tcW w:w="7199" w:type="dxa"/>
            <w:tcBorders>
              <w:top w:val="nil"/>
              <w:left w:val="nil"/>
              <w:bottom w:val="nil"/>
              <w:insideH w:val="nil"/>
              <w:right w:val="nil"/>
              <w:insideV w:val="nil"/>
            </w:tcBorders>
            <w:shd w:fill="auto" w:val="cle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2340" w:type="dxa"/>
            <w:tcBorders>
              <w:top w:val="nil"/>
              <w:left w:val="nil"/>
              <w:bottom w:val="nil"/>
              <w:insideH w:val="nil"/>
              <w:right w:val="nil"/>
              <w:insideV w:val="nil"/>
            </w:tcBorders>
            <w:shd w:fill="auto" w:val="clear"/>
          </w:tcPr>
          <w:p>
            <w:pPr>
              <w:pStyle w:val="Normal"/>
              <w:rPr>
                <w:rFonts w:cs="Arial" w:ascii="Arial" w:hAnsi="Arial"/>
                <w:b/>
                <w:bCs/>
                <w:color w:val="000000"/>
                <w:sz w:val="20"/>
                <w:szCs w:val="20"/>
              </w:rPr>
            </w:pPr>
            <w:r>
              <w:rPr>
                <w:rFonts w:cs="Arial" w:ascii="Arial" w:hAnsi="Arial"/>
                <w:b/>
                <w:bCs/>
                <w:color w:val="000000"/>
                <w:sz w:val="20"/>
                <w:szCs w:val="20"/>
              </w:rPr>
              <w:t>Name and Call:</w:t>
            </w:r>
          </w:p>
        </w:tc>
        <w:tc>
          <w:tcPr>
            <w:tcW w:w="7199" w:type="dxa"/>
            <w:tcBorders>
              <w:top w:val="nil"/>
              <w:left w:val="nil"/>
              <w:bottom w:val="nil"/>
              <w:insideH w:val="nil"/>
              <w:right w:val="nil"/>
              <w:insideV w:val="nil"/>
            </w:tcBorders>
            <w:shd w:fill="auto" w:val="cle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2340" w:type="dxa"/>
            <w:tcBorders>
              <w:top w:val="nil"/>
              <w:left w:val="nil"/>
              <w:bottom w:val="nil"/>
              <w:insideH w:val="nil"/>
              <w:right w:val="nil"/>
              <w:insideV w:val="nil"/>
            </w:tcBorders>
            <w:shd w:fill="auto" w:val="clear"/>
          </w:tcPr>
          <w:p>
            <w:pPr>
              <w:pStyle w:val="Normal"/>
              <w:rPr>
                <w:rFonts w:cs="Arial" w:ascii="Arial" w:hAnsi="Arial"/>
                <w:b/>
                <w:bCs/>
                <w:color w:val="000000"/>
                <w:sz w:val="20"/>
                <w:szCs w:val="20"/>
              </w:rPr>
            </w:pPr>
            <w:r>
              <w:rPr>
                <w:rFonts w:cs="Arial" w:ascii="Arial" w:hAnsi="Arial"/>
                <w:b/>
                <w:bCs/>
                <w:color w:val="000000"/>
                <w:sz w:val="20"/>
                <w:szCs w:val="20"/>
              </w:rPr>
              <w:t>E-mail address:</w:t>
            </w:r>
          </w:p>
        </w:tc>
        <w:tc>
          <w:tcPr>
            <w:tcW w:w="7199" w:type="dxa"/>
            <w:tcBorders>
              <w:top w:val="nil"/>
              <w:left w:val="nil"/>
              <w:bottom w:val="nil"/>
              <w:insideH w:val="nil"/>
              <w:right w:val="nil"/>
              <w:insideV w:val="nil"/>
            </w:tcBorders>
            <w:shd w:fill="auto" w:val="cle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bl>
    <w:p>
      <w:pPr>
        <w:pStyle w:val="Normal"/>
        <w:rPr>
          <w:rFonts w:cs="Arial" w:ascii="Arial" w:hAnsi="Arial"/>
          <w:b/>
          <w:bCs/>
          <w:color w:val="000000"/>
          <w:sz w:val="20"/>
          <w:szCs w:val="20"/>
        </w:rPr>
      </w:pPr>
      <w:r>
        <w:rPr>
          <w:rFonts w:cs="Arial" w:ascii="Arial" w:hAnsi="Arial"/>
          <w:b/>
          <w:bCs/>
          <w:color w:val="000000"/>
          <w:sz w:val="20"/>
          <w:szCs w:val="20"/>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539"/>
        <w:gridCol w:w="5245"/>
        <w:gridCol w:w="3756"/>
      </w:tblGrid>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1</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ARES members in your group</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cs="Arial" w:ascii="Arial" w:hAnsi="Arial"/>
                <w:color w:val="000000"/>
                <w:sz w:val="20"/>
                <w:szCs w:val="20"/>
              </w:rPr>
            </w:pPr>
            <w:r>
              <w:rPr>
                <w:rFonts w:cs="Arial" w:ascii="Arial" w:hAnsi="Arial"/>
                <w:color w:val="000000"/>
                <w:sz w:val="20"/>
                <w:szCs w:val="20"/>
              </w:rPr>
            </w:r>
          </w:p>
          <w:p>
            <w:pPr>
              <w:pStyle w:val="Normal"/>
              <w:jc w:val="center"/>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2</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new licensees (licensed since 2011) in your ARES group</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3</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members who operate CW</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cs="Arial" w:ascii="Arial" w:hAnsi="Arial"/>
                <w:color w:val="000000"/>
                <w:sz w:val="20"/>
                <w:szCs w:val="20"/>
              </w:rPr>
            </w:pPr>
            <w:r>
              <w:rPr>
                <w:rFonts w:cs="Arial" w:ascii="Arial" w:hAnsi="Arial"/>
                <w:color w:val="000000"/>
                <w:sz w:val="20"/>
                <w:szCs w:val="20"/>
              </w:rPr>
            </w:r>
          </w:p>
          <w:p>
            <w:pPr>
              <w:pStyle w:val="Normal"/>
              <w:jc w:val="center"/>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4</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members who operate VHF</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5</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members with HF emergency-power capability at home</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6</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members with VHF emergency-power capability at home</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7</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members who can operate HF mobile</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8</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Total number of members who can operate VHF mobile</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9</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 xml:space="preserve">Total number of members who are active on digital modes </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10</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Approximate number of ARES drills or nets per year</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11</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Is your ARES net affiliated with or have liaison to the ARRL National Traffic System?</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12</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List the primary agencies served by your ARES group (civil preparedness, Red Cross, NWS, etc)</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tc>
      </w:tr>
      <w:tr>
        <w:trPr>
          <w:cantSplit w:val="false"/>
        </w:trPr>
        <w:tc>
          <w:tcPr>
            <w:tcW w:w="5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13</w:t>
            </w:r>
          </w:p>
        </w:tc>
        <w:tc>
          <w:tcPr>
            <w:tcW w:w="52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t xml:space="preserve">Does your ARES group work with RACES? </w:t>
            </w:r>
          </w:p>
          <w:p>
            <w:pPr>
              <w:pStyle w:val="Normal"/>
              <w:rPr>
                <w:rFonts w:cs="Arial" w:ascii="Arial" w:hAnsi="Arial"/>
                <w:color w:val="000000"/>
                <w:sz w:val="20"/>
                <w:szCs w:val="20"/>
              </w:rPr>
            </w:pPr>
            <w:r>
              <w:rPr>
                <w:rFonts w:cs="Arial" w:ascii="Arial" w:hAnsi="Arial"/>
                <w:color w:val="000000"/>
                <w:sz w:val="20"/>
                <w:szCs w:val="20"/>
              </w:rPr>
              <w:t>If yes, explain the relationship</w:t>
            </w:r>
          </w:p>
        </w:tc>
        <w:tc>
          <w:tcPr>
            <w:tcW w:w="3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Arial" w:ascii="Arial" w:hAnsi="Arial"/>
                <w:color w:val="000000"/>
                <w:sz w:val="20"/>
                <w:szCs w:val="20"/>
              </w:rPr>
            </w:pPr>
            <w:r>
              <w:rPr>
                <w:rFonts w:cs="Arial" w:ascii="Arial" w:hAnsi="Arial"/>
                <w:color w:val="000000"/>
                <w:sz w:val="20"/>
                <w:szCs w:val="20"/>
              </w:rPr>
            </w:r>
          </w:p>
        </w:tc>
      </w:tr>
    </w:tbl>
    <w:p>
      <w:pPr>
        <w:pStyle w:val="Normal"/>
        <w:rPr>
          <w:rFonts w:cs="Arial" w:ascii="Arial" w:hAnsi="Arial"/>
          <w:color w:val="000000"/>
          <w:sz w:val="20"/>
          <w:szCs w:val="20"/>
        </w:rPr>
      </w:pPr>
      <w:r>
        <w:rPr>
          <w:rFonts w:cs="Arial" w:ascii="Arial" w:hAnsi="Arial"/>
          <w:color w:val="000000"/>
          <w:sz w:val="20"/>
          <w:szCs w:val="20"/>
        </w:rPr>
      </w:r>
    </w:p>
    <w:p>
      <w:pPr>
        <w:pStyle w:val="Normal"/>
        <w:rPr>
          <w:rFonts w:cs="Arial" w:ascii="Arial" w:hAnsi="Arial"/>
          <w:b/>
          <w:bCs/>
          <w:color w:val="000000"/>
          <w:sz w:val="20"/>
          <w:szCs w:val="20"/>
        </w:rPr>
      </w:pPr>
      <w:r>
        <w:rPr>
          <w:rFonts w:cs="Arial" w:ascii="Arial" w:hAnsi="Arial"/>
          <w:b/>
          <w:bCs/>
          <w:color w:val="000000"/>
          <w:sz w:val="20"/>
          <w:szCs w:val="20"/>
        </w:rPr>
        <w:t>Deadline for reporting is February 3, 2016.</w:t>
      </w:r>
    </w:p>
    <w:p>
      <w:pPr>
        <w:pStyle w:val="Normal"/>
        <w:rPr>
          <w:rStyle w:val="InternetLink"/>
          <w:rFonts w:cs="Arial" w:ascii="Arial" w:hAnsi="Arial"/>
          <w:b/>
          <w:bCs/>
          <w:sz w:val="20"/>
          <w:szCs w:val="20"/>
        </w:rPr>
      </w:pPr>
      <w:r>
        <w:rPr>
          <w:rFonts w:cs="Arial" w:ascii="Arial" w:hAnsi="Arial"/>
          <w:b/>
          <w:bCs/>
          <w:color w:val="000000"/>
          <w:sz w:val="20"/>
          <w:szCs w:val="20"/>
        </w:rPr>
        <w:t xml:space="preserve">Mail to: ARRL HQ, 225 Main St, Newington, CT 06111, or e-mail the form to </w:t>
      </w:r>
      <w:hyperlink r:id="rId3">
        <w:r>
          <w:rPr>
            <w:rStyle w:val="InternetLink"/>
            <w:rFonts w:cs="Arial" w:ascii="Arial" w:hAnsi="Arial"/>
            <w:b/>
            <w:bCs/>
            <w:sz w:val="20"/>
            <w:szCs w:val="20"/>
          </w:rPr>
          <w:t>sewald@arrl.org</w:t>
        </w:r>
      </w:hyperlink>
    </w:p>
    <w:p>
      <w:pPr>
        <w:pStyle w:val="Normal"/>
        <w:rPr>
          <w:rFonts w:cs="Arial" w:ascii="Arial" w:hAnsi="Arial"/>
          <w:b/>
          <w:bCs/>
          <w:color w:val="000000"/>
          <w:sz w:val="20"/>
          <w:szCs w:val="20"/>
        </w:rPr>
      </w:pPr>
      <w:r>
        <w:rPr>
          <w:rFonts w:cs="Arial" w:ascii="Arial" w:hAnsi="Arial"/>
          <w:b/>
          <w:bCs/>
          <w:color w:val="000000"/>
          <w:sz w:val="20"/>
          <w:szCs w:val="20"/>
        </w:rPr>
      </w:r>
    </w:p>
    <w:p>
      <w:pPr>
        <w:pStyle w:val="Normal"/>
        <w:rPr>
          <w:rFonts w:cs="Arial" w:ascii="Arial" w:hAnsi="Arial"/>
          <w:b/>
          <w:bCs/>
          <w:color w:val="000000"/>
          <w:sz w:val="20"/>
          <w:szCs w:val="20"/>
        </w:rPr>
      </w:pPr>
      <w:r>
        <w:rPr>
          <w:rFonts w:cs="Arial" w:ascii="Arial" w:hAnsi="Arial"/>
          <w:b/>
          <w:bCs/>
          <w:color w:val="000000"/>
          <w:sz w:val="20"/>
          <w:szCs w:val="20"/>
        </w:rPr>
      </w:r>
    </w:p>
    <w:p>
      <w:pPr>
        <w:pStyle w:val="Normal"/>
        <w:rPr>
          <w:rFonts w:cs="Arial" w:ascii="Arial" w:hAnsi="Arial"/>
          <w:color w:val="000000"/>
          <w:sz w:val="20"/>
          <w:szCs w:val="20"/>
        </w:rPr>
      </w:pPr>
      <w:r>
        <w:rPr>
          <w:rFonts w:cs="Arial" w:ascii="Arial" w:hAnsi="Arial"/>
          <w:b/>
          <w:bCs/>
          <w:color w:val="000000"/>
          <w:sz w:val="20"/>
          <w:szCs w:val="20"/>
        </w:rPr>
        <w:t>CC:</w:t>
      </w:r>
      <w:r>
        <w:rPr>
          <w:rFonts w:cs="Arial" w:ascii="Arial" w:hAnsi="Arial"/>
          <w:color w:val="000000"/>
          <w:sz w:val="20"/>
          <w:szCs w:val="20"/>
        </w:rPr>
        <w:t xml:space="preserve">  ARRL HQ, SEC/DEC</w:t>
      </w:r>
    </w:p>
    <w:p>
      <w:pPr>
        <w:pStyle w:val="Normal"/>
        <w:rPr/>
      </w:pPr>
      <w:r>
        <w:rPr/>
      </w:r>
    </w:p>
    <w:p>
      <w:pPr>
        <w:sectPr>
          <w:type w:val="continuous"/>
          <w:pgSz w:w="12240" w:h="15840"/>
          <w:pgMar w:left="1440" w:right="1440" w:header="0" w:top="1440" w:footer="0" w:bottom="1440" w:gutter="0"/>
          <w:formProt w:val="false"/>
          <w:textDirection w:val="lrTb"/>
          <w:docGrid w:type="default" w:linePitch="600" w:charSpace="32768"/>
        </w:sectPr>
      </w:pPr>
    </w:p>
    <w:sectPr>
      <w:type w:val="continuous"/>
      <w:pgSz w:w="12240" w:h="15840"/>
      <w:pgMar w:left="1440" w:right="144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0" w:defSemiHidden="0" w:defUIPriority="0" w:defLockedState="0">
    <w:lsdException w:qFormat="1" w:name="Normal"/>
    <w:lsdException w:qFormat="1" w:name="heading 1"/>
    <w:lsdException w:qFormat="1" w:unhideWhenUsed="1" w:semiHidden="1" w:name="heading 2"/>
    <w:lsdException w:qFormat="1" w:unhideWhenUsed="1" w:semiHidden="1" w:name="heading 3"/>
    <w:lsdException w:qFormat="1" w:unhideWhenUsed="1" w:semiHidden="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qFormat="1" w:unhideWhenUsed="1" w:semiHidden="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rsid w:val="009852d7"/>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character" w:styleId="DefaultParagraphFont" w:default="1">
    <w:name w:val="Default Paragraph Font"/>
    <w:uiPriority w:val="1"/>
    <w:semiHidden/>
    <w:unhideWhenUsed/>
    <w:rPr/>
  </w:style>
  <w:style w:type="character" w:styleId="InternetLink">
    <w:name w:val="Internet Link"/>
    <w:rsid w:val="008a1604"/>
    <w:basedOn w:val="DefaultParagraphFont"/>
    <w:rPr>
      <w:color w:val="0000FF"/>
      <w:u w:val="single"/>
      <w:lang w:val="zxx" w:eastAsia="zxx" w:bidi="zxx"/>
    </w:rPr>
  </w:style>
  <w:style w:type="paragraph" w:styleId="Heading">
    <w:name w:val="Heading"/>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pPr>
      <w:suppressLineNumbers/>
      <w:spacing w:before="120" w:after="120"/>
    </w:pPr>
    <w:rPr>
      <w:rFonts w:cs="Arial"/>
      <w:i/>
      <w:iCs/>
      <w:sz w:val="24"/>
      <w:szCs w:val="24"/>
    </w:rPr>
  </w:style>
  <w:style w:type="paragraph" w:styleId="Index">
    <w:name w:val="Index"/>
    <w:basedOn w:val="Normal"/>
    <w:pPr>
      <w:suppressLineNumbers/>
    </w:pPr>
    <w:rPr>
      <w:rFonts w:cs="Arial"/>
    </w:rPr>
  </w:style>
  <w:style w:type="paragraph" w:styleId="BalloonText">
    <w:name w:val="Balloon Text"/>
    <w:semiHidden/>
    <w:rsid w:val="006d412b"/>
    <w:basedOn w:val="Normal"/>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wald@arrl.or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2015-07-15T20:31:00Z</dcterms:created>
  <dc:creator>WSDD</dc:creator>
  <dc:language>en-US</dc:language>
  <cp:lastModifiedBy>sewald</cp:lastModifiedBy>
  <cp:lastPrinted>2008-08-07T22:02:00Z</cp:lastPrinted>
  <dcterms:modified xsi:type="dcterms:W3CDTF">2015-07-15T20:31:00Z</dcterms:modified>
  <cp:revision>2</cp:revision>
  <dc:title>2004 EC Annual Report</dc:title>
</cp:coreProperties>
</file>